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2752C">
      <w:pPr>
        <w:jc w:val="center"/>
        <w:rPr>
          <w:rFonts w:hint="eastAsia" w:ascii="宋体" w:hAnsi="宋体" w:cs="宋体"/>
          <w:b/>
          <w:sz w:val="44"/>
          <w:szCs w:val="44"/>
          <w:lang w:eastAsia="zh-CN"/>
        </w:rPr>
      </w:pPr>
    </w:p>
    <w:p w14:paraId="360B5741">
      <w:pPr>
        <w:jc w:val="center"/>
        <w:rPr>
          <w:rFonts w:hint="eastAsia" w:ascii="宋体" w:hAnsi="宋体" w:cs="宋体"/>
          <w:b/>
          <w:sz w:val="44"/>
          <w:szCs w:val="44"/>
          <w:lang w:eastAsia="zh-CN"/>
        </w:rPr>
      </w:pPr>
    </w:p>
    <w:p w14:paraId="76D2BF50">
      <w:pPr>
        <w:jc w:val="center"/>
        <w:rPr>
          <w:rFonts w:ascii="宋体" w:hAnsi="宋体" w:cs="宋体"/>
          <w:b/>
          <w:sz w:val="56"/>
          <w:szCs w:val="72"/>
        </w:rPr>
      </w:pPr>
      <w:r>
        <w:rPr>
          <w:rFonts w:hint="eastAsia" w:ascii="宋体" w:hAnsi="宋体" w:cs="宋体"/>
          <w:b/>
          <w:sz w:val="44"/>
          <w:szCs w:val="44"/>
          <w:lang w:val="en-US" w:eastAsia="zh-CN"/>
        </w:rPr>
        <w:t>宁波市奉化区产权服务中心</w:t>
      </w:r>
      <w:r>
        <w:rPr>
          <w:rFonts w:hint="eastAsia" w:ascii="宋体" w:hAnsi="宋体" w:cs="宋体"/>
          <w:b/>
          <w:sz w:val="56"/>
          <w:szCs w:val="72"/>
        </w:rPr>
        <w:t>
</w:t>
      </w:r>
    </w:p>
    <w:p w14:paraId="5176A4E0">
      <w:pPr>
        <w:pStyle w:val="19"/>
        <w:jc w:val="center"/>
        <w:rPr>
          <w:rFonts w:hint="eastAsia" w:ascii="宋体" w:hAnsi="宋体" w:cs="宋体"/>
          <w:b/>
          <w:sz w:val="56"/>
          <w:szCs w:val="72"/>
        </w:rPr>
      </w:pPr>
      <w:r>
        <w:rPr>
          <w:rFonts w:hint="eastAsia" w:ascii="宋体" w:hAnsi="宋体" w:cs="宋体"/>
          <w:b/>
          <w:sz w:val="40"/>
          <w:szCs w:val="40"/>
          <w:lang w:val="en-US" w:eastAsia="zh-CN"/>
        </w:rPr>
        <w:t>委托方用户</w:t>
      </w:r>
      <w:r>
        <w:rPr>
          <w:rFonts w:hint="eastAsia" w:ascii="宋体" w:hAnsi="宋体" w:cs="宋体"/>
          <w:b/>
          <w:sz w:val="40"/>
          <w:szCs w:val="40"/>
        </w:rPr>
        <w:t>操作手册</w:t>
      </w:r>
    </w:p>
    <w:p w14:paraId="11CBA097">
      <w:pPr>
        <w:keepNext w:val="0"/>
        <w:keepLines w:val="0"/>
        <w:widowControl/>
        <w:suppressLineNumbers w:val="0"/>
        <w:jc w:val="center"/>
        <w:rPr>
          <w:rFonts w:hint="eastAsia" w:ascii="宋体" w:hAnsi="宋体" w:cs="宋体"/>
          <w:b/>
          <w:sz w:val="56"/>
          <w:szCs w:val="72"/>
        </w:rPr>
      </w:pPr>
    </w:p>
    <w:p w14:paraId="7E4B8F7C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025ABBF5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3CA2F11F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7F25BF0C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2B9E906B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0373383F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378E6D9B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01B1051C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62DC3165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44B9AB10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522CF8EB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4A83D564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1FC2F585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5D44E22C">
      <w:pPr>
        <w:pStyle w:val="19"/>
        <w:jc w:val="center"/>
        <w:rPr>
          <w:rFonts w:ascii="宋体" w:hAnsi="宋体"/>
          <w:b/>
          <w:caps/>
          <w:sz w:val="21"/>
          <w:szCs w:val="21"/>
        </w:rPr>
      </w:pPr>
    </w:p>
    <w:p w14:paraId="7667A9A9">
      <w:pPr>
        <w:adjustRightInd w:val="0"/>
        <w:snapToGrid w:val="0"/>
        <w:ind w:firstLine="420"/>
        <w:jc w:val="center"/>
        <w:rPr>
          <w:rFonts w:ascii="宋体" w:hAnsi="宋体"/>
          <w:color w:val="FF0000"/>
          <w:sz w:val="21"/>
          <w:szCs w:val="21"/>
        </w:rPr>
      </w:pPr>
    </w:p>
    <w:p w14:paraId="35E6CF04">
      <w:pPr>
        <w:adjustRightInd w:val="0"/>
        <w:snapToGrid w:val="0"/>
        <w:ind w:firstLine="420"/>
        <w:rPr>
          <w:rFonts w:ascii="宋体" w:hAnsi="宋体"/>
          <w:sz w:val="28"/>
          <w:szCs w:val="28"/>
        </w:rPr>
      </w:pPr>
    </w:p>
    <w:p w14:paraId="69AF6C83">
      <w:pPr>
        <w:adjustRightInd w:val="0"/>
        <w:snapToGrid w:val="0"/>
        <w:ind w:firstLine="602"/>
        <w:jc w:val="center"/>
        <w:rPr>
          <w:rFonts w:ascii="宋体" w:hAnsi="宋体"/>
          <w:b/>
          <w:bCs/>
          <w:sz w:val="28"/>
          <w:szCs w:val="28"/>
        </w:rPr>
      </w:pPr>
    </w:p>
    <w:p w14:paraId="67DF2DAA"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20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25</w:t>
      </w:r>
      <w:r>
        <w:rPr>
          <w:rFonts w:hint="eastAsia" w:ascii="宋体" w:hAnsi="宋体"/>
          <w:b/>
          <w:bCs/>
          <w:sz w:val="28"/>
          <w:szCs w:val="28"/>
        </w:rPr>
        <w:t>年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09</w:t>
      </w:r>
      <w:r>
        <w:rPr>
          <w:rFonts w:hint="eastAsia" w:ascii="宋体" w:hAnsi="宋体"/>
          <w:b/>
          <w:bCs/>
          <w:sz w:val="28"/>
          <w:szCs w:val="28"/>
        </w:rPr>
        <w:t>月</w:t>
      </w:r>
    </w:p>
    <w:p w14:paraId="21946B30">
      <w:pPr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br w:type="page"/>
      </w:r>
    </w:p>
    <w:p w14:paraId="771E793D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sz w:val="30"/>
          <w:szCs w:val="30"/>
        </w:rPr>
      </w:pPr>
      <w:r>
        <w:rPr>
          <w:rFonts w:ascii="宋体" w:hAnsi="宋体" w:eastAsia="宋体"/>
          <w:b/>
          <w:bCs/>
          <w:sz w:val="30"/>
          <w:szCs w:val="30"/>
        </w:rPr>
        <w:t>目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 xml:space="preserve"> </w:t>
      </w:r>
      <w:r>
        <w:rPr>
          <w:rFonts w:ascii="宋体" w:hAnsi="宋体" w:eastAsia="宋体"/>
          <w:b/>
          <w:bCs/>
          <w:sz w:val="30"/>
          <w:szCs w:val="30"/>
        </w:rPr>
        <w:t>录</w:t>
      </w:r>
    </w:p>
    <w:p w14:paraId="6C60010F">
      <w:pPr>
        <w:pStyle w:val="13"/>
        <w:tabs>
          <w:tab w:val="right" w:leader="dot" w:pos="8306"/>
        </w:tabs>
      </w:pPr>
      <w:r>
        <w:rPr>
          <w:rFonts w:eastAsiaTheme="majorEastAsia"/>
          <w:sz w:val="21"/>
          <w:szCs w:val="21"/>
        </w:rPr>
        <w:fldChar w:fldCharType="begin"/>
      </w:r>
      <w:r>
        <w:rPr>
          <w:rFonts w:eastAsiaTheme="majorEastAsia"/>
          <w:sz w:val="21"/>
          <w:szCs w:val="21"/>
        </w:rPr>
        <w:instrText xml:space="preserve">TOC \o "1-2" \h \u </w:instrText>
      </w:r>
      <w:r>
        <w:rPr>
          <w:rFonts w:eastAsiaTheme="majorEastAsia"/>
          <w:sz w:val="21"/>
          <w:szCs w:val="21"/>
        </w:rPr>
        <w:fldChar w:fldCharType="separate"/>
      </w: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_Toc7696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申请成为委托方</w:t>
      </w:r>
      <w:r>
        <w:tab/>
      </w:r>
      <w:r>
        <w:fldChar w:fldCharType="begin"/>
      </w:r>
      <w:r>
        <w:instrText xml:space="preserve"> PAGEREF _Toc7696 \h </w:instrText>
      </w:r>
      <w:r>
        <w:fldChar w:fldCharType="separate"/>
      </w:r>
      <w:r>
        <w:t>3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5086A707">
      <w:pPr>
        <w:pStyle w:val="14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_Toc1857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  <w:lang w:val="en-US" w:eastAsia="zh-CN"/>
        </w:rPr>
        <w:t xml:space="preserve">1.1. </w:t>
      </w:r>
      <w:r>
        <w:rPr>
          <w:rFonts w:hint="eastAsia"/>
          <w:lang w:val="en-US" w:eastAsia="zh-CN"/>
        </w:rPr>
        <w:t>委托方注册</w:t>
      </w:r>
      <w:r>
        <w:tab/>
      </w:r>
      <w:r>
        <w:fldChar w:fldCharType="begin"/>
      </w:r>
      <w:r>
        <w:instrText xml:space="preserve"> PAGEREF _Toc1857 \h </w:instrText>
      </w:r>
      <w:r>
        <w:fldChar w:fldCharType="separate"/>
      </w:r>
      <w:r>
        <w:t>3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15389352">
      <w:pPr>
        <w:pStyle w:val="14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_Toc23425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  <w:lang w:val="en-US" w:eastAsia="zh-CN"/>
        </w:rPr>
        <w:t xml:space="preserve">1.2. </w:t>
      </w:r>
      <w:r>
        <w:rPr>
          <w:rFonts w:hint="eastAsia"/>
          <w:lang w:val="en-US" w:eastAsia="zh-CN"/>
        </w:rPr>
        <w:t>委托方登录</w:t>
      </w:r>
      <w:r>
        <w:tab/>
      </w:r>
      <w:r>
        <w:fldChar w:fldCharType="begin"/>
      </w:r>
      <w:r>
        <w:instrText xml:space="preserve"> PAGEREF _Toc23425 \h </w:instrText>
      </w:r>
      <w:r>
        <w:fldChar w:fldCharType="separate"/>
      </w:r>
      <w:r>
        <w:t>4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4BDE9E41">
      <w:pPr>
        <w:pStyle w:val="14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_Toc32567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  <w:lang w:val="en-US" w:eastAsia="zh-CN"/>
        </w:rPr>
        <w:t xml:space="preserve">1.3. </w:t>
      </w:r>
      <w:r>
        <w:rPr>
          <w:rFonts w:hint="eastAsia"/>
          <w:lang w:val="en-US" w:eastAsia="zh-CN"/>
        </w:rPr>
        <w:t>完善并申请成为委托方</w:t>
      </w:r>
      <w:r>
        <w:tab/>
      </w:r>
      <w:r>
        <w:fldChar w:fldCharType="begin"/>
      </w:r>
      <w:r>
        <w:instrText xml:space="preserve"> PAGEREF _Toc32567 \h </w:instrText>
      </w:r>
      <w:r>
        <w:fldChar w:fldCharType="separate"/>
      </w:r>
      <w:r>
        <w:t>7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676C4D6D">
      <w:pPr>
        <w:pStyle w:val="13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_Toc739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委托项目管理</w:t>
      </w:r>
      <w:r>
        <w:tab/>
      </w:r>
      <w:r>
        <w:fldChar w:fldCharType="begin"/>
      </w:r>
      <w:r>
        <w:instrText xml:space="preserve"> PAGEREF _Toc739 \h </w:instrText>
      </w:r>
      <w:r>
        <w:fldChar w:fldCharType="separate"/>
      </w:r>
      <w:r>
        <w:t>9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309E39AF">
      <w:pPr>
        <w:pStyle w:val="14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_Toc31464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</w:rPr>
        <w:t xml:space="preserve">2.1. </w:t>
      </w:r>
      <w:r>
        <w:rPr>
          <w:rFonts w:hint="eastAsia"/>
          <w:lang w:val="en-US" w:eastAsia="zh-CN"/>
        </w:rPr>
        <w:t>委托中项目</w:t>
      </w:r>
      <w:r>
        <w:tab/>
      </w:r>
      <w:r>
        <w:fldChar w:fldCharType="begin"/>
      </w:r>
      <w:r>
        <w:instrText xml:space="preserve"> PAGEREF _Toc31464 \h </w:instrText>
      </w:r>
      <w:r>
        <w:fldChar w:fldCharType="separate"/>
      </w:r>
      <w:r>
        <w:t>9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193CE13A">
      <w:pPr>
        <w:pStyle w:val="14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_Toc23407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</w:rPr>
        <w:t xml:space="preserve">2.2. </w:t>
      </w:r>
      <w:r>
        <w:rPr>
          <w:rFonts w:hint="eastAsia"/>
          <w:lang w:val="en-US" w:eastAsia="zh-CN"/>
        </w:rPr>
        <w:t>已挂牌项目</w:t>
      </w:r>
      <w:r>
        <w:tab/>
      </w:r>
      <w:r>
        <w:fldChar w:fldCharType="begin"/>
      </w:r>
      <w:r>
        <w:instrText xml:space="preserve"> PAGEREF _Toc23407 \h </w:instrText>
      </w:r>
      <w:r>
        <w:fldChar w:fldCharType="separate"/>
      </w:r>
      <w:r>
        <w:t>10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759D99B6">
      <w:pPr>
        <w:pStyle w:val="14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_Toc11015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</w:rPr>
        <w:t xml:space="preserve">2.3. </w:t>
      </w:r>
      <w:r>
        <w:rPr>
          <w:rFonts w:hint="eastAsia"/>
          <w:lang w:val="en-US" w:eastAsia="zh-CN"/>
        </w:rPr>
        <w:t>已成交项目</w:t>
      </w:r>
      <w:r>
        <w:tab/>
      </w:r>
      <w:r>
        <w:fldChar w:fldCharType="begin"/>
      </w:r>
      <w:r>
        <w:instrText xml:space="preserve"> PAGEREF _Toc11015 \h </w:instrText>
      </w:r>
      <w:r>
        <w:fldChar w:fldCharType="separate"/>
      </w:r>
      <w:r>
        <w:t>10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6CB753DF">
      <w:pPr>
        <w:pStyle w:val="13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_Toc18406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待办事项</w:t>
      </w:r>
      <w:r>
        <w:tab/>
      </w:r>
      <w:r>
        <w:fldChar w:fldCharType="begin"/>
      </w:r>
      <w:r>
        <w:instrText xml:space="preserve"> PAGEREF _Toc18406 \h </w:instrText>
      </w:r>
      <w:r>
        <w:fldChar w:fldCharType="separate"/>
      </w:r>
      <w:r>
        <w:t>11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4C0438D0">
      <w:pPr>
        <w:pStyle w:val="14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_Toc28871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</w:rPr>
        <w:t xml:space="preserve">3.1. </w:t>
      </w:r>
      <w:r>
        <w:rPr>
          <w:rFonts w:hint="eastAsia"/>
          <w:lang w:val="en-US" w:eastAsia="zh-CN"/>
        </w:rPr>
        <w:t>委托方修改</w:t>
      </w:r>
      <w:r>
        <w:tab/>
      </w:r>
      <w:r>
        <w:fldChar w:fldCharType="begin"/>
      </w:r>
      <w:r>
        <w:instrText xml:space="preserve"> PAGEREF _Toc28871 \h </w:instrText>
      </w:r>
      <w:r>
        <w:fldChar w:fldCharType="separate"/>
      </w:r>
      <w:r>
        <w:t>11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06A00761">
      <w:pPr>
        <w:pStyle w:val="14"/>
        <w:tabs>
          <w:tab w:val="right" w:leader="dot" w:pos="8306"/>
        </w:tabs>
      </w:pPr>
      <w:r>
        <w:rPr>
          <w:rFonts w:eastAsiaTheme="majorEastAsia"/>
          <w:szCs w:val="21"/>
        </w:rPr>
        <w:fldChar w:fldCharType="begin"/>
      </w:r>
      <w:r>
        <w:rPr>
          <w:rFonts w:eastAsiaTheme="majorEastAsia"/>
          <w:szCs w:val="21"/>
        </w:rPr>
        <w:instrText xml:space="preserve"> HYPERLINK \l _Toc20568 </w:instrText>
      </w:r>
      <w:r>
        <w:rPr>
          <w:rFonts w:eastAsiaTheme="majorEastAsia"/>
          <w:szCs w:val="21"/>
        </w:rPr>
        <w:fldChar w:fldCharType="separate"/>
      </w:r>
      <w:r>
        <w:rPr>
          <w:rFonts w:hint="default"/>
        </w:rPr>
        <w:t xml:space="preserve">3.2. </w:t>
      </w:r>
      <w:r>
        <w:rPr>
          <w:rFonts w:hint="eastAsia"/>
          <w:lang w:val="en-US" w:eastAsia="zh-CN"/>
        </w:rPr>
        <w:t>委托方项目公告确认</w:t>
      </w:r>
      <w:r>
        <w:tab/>
      </w:r>
      <w:r>
        <w:fldChar w:fldCharType="begin"/>
      </w:r>
      <w:r>
        <w:instrText xml:space="preserve"> PAGEREF _Toc20568 \h </w:instrText>
      </w:r>
      <w:r>
        <w:fldChar w:fldCharType="separate"/>
      </w:r>
      <w:r>
        <w:t>12</w:t>
      </w:r>
      <w:r>
        <w:fldChar w:fldCharType="end"/>
      </w:r>
      <w:r>
        <w:rPr>
          <w:rFonts w:eastAsiaTheme="majorEastAsia"/>
          <w:szCs w:val="21"/>
        </w:rPr>
        <w:fldChar w:fldCharType="end"/>
      </w:r>
    </w:p>
    <w:p w14:paraId="14944C04">
      <w:pPr>
        <w:rPr>
          <w:rFonts w:eastAsiaTheme="majorEastAsia"/>
          <w:szCs w:val="21"/>
        </w:rPr>
      </w:pPr>
      <w:r>
        <w:rPr>
          <w:rFonts w:eastAsiaTheme="majorEastAsia"/>
          <w:szCs w:val="21"/>
        </w:rPr>
        <w:fldChar w:fldCharType="end"/>
      </w:r>
      <w:r>
        <w:rPr>
          <w:rFonts w:eastAsiaTheme="majorEastAsia"/>
          <w:szCs w:val="21"/>
        </w:rPr>
        <w:br w:type="page"/>
      </w:r>
      <w:bookmarkStart w:id="12" w:name="_GoBack"/>
      <w:bookmarkEnd w:id="12"/>
    </w:p>
    <w:p w14:paraId="52549933">
      <w:pPr>
        <w:pStyle w:val="2"/>
        <w:bidi w:val="0"/>
        <w:rPr>
          <w:rFonts w:hint="default"/>
          <w:lang w:val="en-US" w:eastAsia="zh-CN"/>
        </w:rPr>
      </w:pPr>
      <w:bookmarkStart w:id="0" w:name="_Toc7696"/>
      <w:r>
        <w:rPr>
          <w:rFonts w:hint="eastAsia"/>
          <w:lang w:val="en-US" w:eastAsia="zh-CN"/>
        </w:rPr>
        <w:t>申请成为委托方</w:t>
      </w:r>
      <w:bookmarkEnd w:id="0"/>
    </w:p>
    <w:p w14:paraId="68B8E999">
      <w:pPr>
        <w:pStyle w:val="3"/>
        <w:rPr>
          <w:rFonts w:hint="default"/>
          <w:lang w:val="en-US" w:eastAsia="zh-CN"/>
        </w:rPr>
      </w:pPr>
      <w:bookmarkStart w:id="1" w:name="_Toc1857"/>
      <w:r>
        <w:rPr>
          <w:rFonts w:hint="eastAsia"/>
          <w:lang w:val="en-US" w:eastAsia="zh-CN"/>
        </w:rPr>
        <w:t>委托方注册</w:t>
      </w:r>
      <w:bookmarkEnd w:id="1"/>
    </w:p>
    <w:p w14:paraId="5B3630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委托方首先需要在产权官网注册成为注册用户。</w:t>
      </w:r>
    </w:p>
    <w:p w14:paraId="3E84626E">
      <w:pPr>
        <w:rPr>
          <w:rFonts w:hint="eastAsia"/>
          <w:lang w:val="en-US" w:eastAsia="zh-CN"/>
        </w:rPr>
      </w:pPr>
    </w:p>
    <w:p w14:paraId="2131C6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由宁波市奉化区产权服务中心首页，点击右上方的“登录”按钮即进入登录页面，点击“新用户注册”进入注册页面，如下图所示：</w:t>
      </w:r>
    </w:p>
    <w:p w14:paraId="2C156BB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915920"/>
            <wp:effectExtent l="0" t="0" r="1905" b="825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357D">
      <w:pPr>
        <w:rPr>
          <w:rFonts w:hint="default"/>
          <w:lang w:val="en-US" w:eastAsia="zh-CN"/>
        </w:rPr>
      </w:pPr>
    </w:p>
    <w:p w14:paraId="7CD49E67">
      <w:r>
        <w:drawing>
          <wp:inline distT="0" distB="0" distL="114300" distR="114300">
            <wp:extent cx="5267325" cy="2806700"/>
            <wp:effectExtent l="0" t="0" r="0" b="3175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99A32">
      <w:pPr>
        <w:pStyle w:val="12"/>
      </w:pPr>
    </w:p>
    <w:p w14:paraId="0F142844">
      <w:pPr>
        <w:pStyle w:val="12"/>
      </w:pPr>
      <w:r>
        <w:drawing>
          <wp:inline distT="0" distB="0" distL="114300" distR="114300">
            <wp:extent cx="5273040" cy="3123565"/>
            <wp:effectExtent l="0" t="0" r="381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93EAA">
      <w:pPr>
        <w:pStyle w:val="12"/>
      </w:pPr>
    </w:p>
    <w:p w14:paraId="3EB6CDAE">
      <w:pPr>
        <w:pStyle w:val="12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进入注册账号页面后，选择要注册的用户类型（目前支持法人、个体工商户和自然人）。</w:t>
      </w:r>
    </w:p>
    <w:p w14:paraId="0C4554A7">
      <w:pPr>
        <w:pStyle w:val="12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选择要注册的身份，目前支持受让方、委托方和委托代理人，可允许勾选多个：</w:t>
      </w:r>
    </w:p>
    <w:p w14:paraId="2F8DCD47">
      <w:pPr>
        <w:pStyle w:val="12"/>
        <w:numPr>
          <w:ilvl w:val="0"/>
          <w:numId w:val="2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选择“受让方”身份，可以报名竞买项目；</w:t>
      </w:r>
    </w:p>
    <w:p w14:paraId="6EAB84BC">
      <w:pPr>
        <w:pStyle w:val="12"/>
        <w:numPr>
          <w:ilvl w:val="0"/>
          <w:numId w:val="2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选择“委托方”身份可以转让、出租、融资标的；</w:t>
      </w:r>
    </w:p>
    <w:p w14:paraId="535B334D">
      <w:pPr>
        <w:pStyle w:val="12"/>
        <w:numPr>
          <w:ilvl w:val="0"/>
          <w:numId w:val="2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选择“委托代理方”则可以代理转让、出租、融资标的。</w:t>
      </w:r>
    </w:p>
    <w:p w14:paraId="4D534AD1">
      <w:pPr>
        <w:pStyle w:val="12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选择用户类型及注册身份后，可以继续填写相关信息，如法人或个体工商户填写企业名称和统一社会信用代码，自然人用户填写用户姓名、证件类型、证件号码。</w:t>
      </w:r>
    </w:p>
    <w:p w14:paraId="3F7482D1">
      <w:pPr>
        <w:pStyle w:val="12"/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输入密码及确认密码、图形验证码、手机验证码，勾选阅读并同意后提交即可。</w:t>
      </w:r>
    </w:p>
    <w:p w14:paraId="3FB75C09">
      <w:pPr>
        <w:pStyle w:val="3"/>
        <w:rPr>
          <w:rFonts w:hint="default"/>
          <w:lang w:val="en-US" w:eastAsia="zh-CN"/>
        </w:rPr>
      </w:pPr>
      <w:bookmarkStart w:id="2" w:name="_Toc23425"/>
      <w:r>
        <w:rPr>
          <w:rFonts w:hint="eastAsia"/>
          <w:lang w:val="en-US" w:eastAsia="zh-CN"/>
        </w:rPr>
        <w:t>委托方登录</w:t>
      </w:r>
      <w:bookmarkEnd w:id="2"/>
    </w:p>
    <w:p w14:paraId="10D97D7E">
      <w:pPr>
        <w:pStyle w:val="4"/>
        <w:bidi w:val="0"/>
        <w:rPr>
          <w:rFonts w:hint="eastAsia"/>
          <w:lang w:val="en-US" w:eastAsia="zh-CN"/>
        </w:rPr>
      </w:pPr>
      <w:bookmarkStart w:id="3" w:name="_Toc18430"/>
      <w:r>
        <w:rPr>
          <w:rFonts w:hint="eastAsia"/>
          <w:lang w:val="en-US" w:eastAsia="zh-CN"/>
        </w:rPr>
        <w:t>委托方入口介绍</w:t>
      </w:r>
      <w:bookmarkEnd w:id="3"/>
    </w:p>
    <w:p w14:paraId="50CE757E">
      <w:pPr>
        <w:pStyle w:val="15"/>
        <w:shd w:val="clear" w:color="auto" w:fill="FFFFFF"/>
        <w:spacing w:before="0" w:beforeAutospacing="0" w:after="0" w:afterAutospacing="0"/>
        <w:ind w:firstLine="420" w:firstLineChars="0"/>
        <w:jc w:val="both"/>
        <w:rPr>
          <w:rStyle w:val="18"/>
          <w:rFonts w:hint="eastAsia" w:cs="宋体"/>
          <w:b w:val="0"/>
          <w:bCs w:val="0"/>
          <w:color w:val="333333"/>
          <w:sz w:val="21"/>
          <w:szCs w:val="21"/>
          <w:lang w:val="en-US" w:eastAsia="zh-CN"/>
        </w:rPr>
      </w:pPr>
      <w:r>
        <w:rPr>
          <w:rStyle w:val="18"/>
          <w:rFonts w:hint="eastAsia" w:cs="宋体"/>
          <w:b w:val="0"/>
          <w:bCs w:val="0"/>
          <w:color w:val="333333"/>
          <w:sz w:val="21"/>
          <w:szCs w:val="21"/>
          <w:lang w:val="en-US" w:eastAsia="zh-CN"/>
        </w:rPr>
        <w:t>操作步骤如下：</w:t>
      </w:r>
    </w:p>
    <w:p w14:paraId="7CF18559">
      <w:pPr>
        <w:pStyle w:val="15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420" w:firstLineChars="0"/>
        <w:jc w:val="both"/>
        <w:rPr>
          <w:rStyle w:val="18"/>
          <w:rFonts w:hint="eastAsia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</w:pPr>
      <w:r>
        <w:rPr>
          <w:rStyle w:val="18"/>
          <w:rFonts w:hint="eastAsia" w:cs="宋体"/>
          <w:b w:val="0"/>
          <w:bCs w:val="0"/>
          <w:color w:val="333333"/>
          <w:sz w:val="21"/>
          <w:szCs w:val="21"/>
          <w:lang w:val="en-US" w:eastAsia="zh-CN"/>
        </w:rPr>
        <w:t>委托方</w:t>
      </w:r>
      <w:r>
        <w:rPr>
          <w:rStyle w:val="18"/>
          <w:rFonts w:hint="eastAsia" w:ascii="宋体" w:hAnsi="宋体" w:cs="宋体"/>
          <w:b w:val="0"/>
          <w:bCs w:val="0"/>
          <w:color w:val="333333"/>
          <w:sz w:val="21"/>
          <w:szCs w:val="21"/>
          <w:lang w:val="en-US" w:eastAsia="zh-CN"/>
        </w:rPr>
        <w:t>访问</w:t>
      </w:r>
      <w:r>
        <w:rPr>
          <w:rStyle w:val="18"/>
          <w:rFonts w:hint="eastAsia" w:cs="宋体"/>
          <w:b w:val="0"/>
          <w:bCs w:val="0"/>
          <w:color w:val="333333"/>
          <w:sz w:val="21"/>
          <w:szCs w:val="21"/>
          <w:lang w:val="en-US" w:eastAsia="zh-CN"/>
        </w:rPr>
        <w:t>宁波市奉化区产权服务中心</w:t>
      </w:r>
      <w:r>
        <w:rPr>
          <w:rStyle w:val="18"/>
          <w:rFonts w:hint="eastAsia" w:ascii="宋体" w:hAnsi="宋体" w:eastAsia="宋体" w:cs="宋体"/>
          <w:b w:val="0"/>
          <w:bCs w:val="0"/>
          <w:color w:val="333333"/>
          <w:sz w:val="21"/>
          <w:szCs w:val="21"/>
          <w:lang w:val="en-US" w:eastAsia="zh-CN"/>
        </w:rPr>
        <w:t>官网</w:t>
      </w:r>
      <w:r>
        <w:rPr>
          <w:rStyle w:val="18"/>
          <w:rFonts w:hint="eastAsia" w:ascii="宋体" w:hAnsi="宋体" w:eastAsia="宋体" w:cs="宋体"/>
          <w:b w:val="0"/>
          <w:bCs w:val="0"/>
          <w:color w:val="333333"/>
          <w:sz w:val="21"/>
          <w:szCs w:val="21"/>
        </w:rPr>
        <w:t>，</w:t>
      </w:r>
      <w:r>
        <w:rPr>
          <w:rStyle w:val="18"/>
          <w:rFonts w:hint="eastAsia" w:ascii="宋体" w:hAnsi="宋体" w:eastAsia="宋体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  <w:t>点击右上角的“登录”按钮，进入登录页面</w:t>
      </w:r>
      <w:r>
        <w:rPr>
          <w:rStyle w:val="18"/>
          <w:rFonts w:hint="eastAsia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  <w:t>，如下图所示：</w:t>
      </w:r>
    </w:p>
    <w:p w14:paraId="4D9F88C6">
      <w:pPr>
        <w:pStyle w:val="15"/>
        <w:numPr>
          <w:ilvl w:val="0"/>
          <w:numId w:val="0"/>
        </w:numPr>
        <w:shd w:val="clear" w:color="auto" w:fill="FFFFFF"/>
        <w:spacing w:before="0" w:beforeAutospacing="0" w:after="0" w:afterAutospacing="0"/>
        <w:jc w:val="both"/>
        <w:rPr>
          <w:rStyle w:val="18"/>
          <w:rFonts w:hint="default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265420" cy="3002280"/>
            <wp:effectExtent l="0" t="0" r="1905" b="7620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CCF17">
      <w:pPr>
        <w:pStyle w:val="15"/>
        <w:shd w:val="clear" w:color="auto" w:fill="FFFFFF"/>
        <w:spacing w:before="0" w:beforeAutospacing="0" w:after="0" w:afterAutospacing="0"/>
        <w:jc w:val="both"/>
        <w:rPr>
          <w:rStyle w:val="18"/>
          <w:rFonts w:hint="default" w:ascii="宋体" w:hAnsi="宋体" w:eastAsia="宋体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</w:pPr>
    </w:p>
    <w:p w14:paraId="7110F88C">
      <w:pPr>
        <w:pStyle w:val="15"/>
        <w:numPr>
          <w:ilvl w:val="0"/>
          <w:numId w:val="0"/>
        </w:numPr>
        <w:shd w:val="clear" w:color="auto" w:fill="FFFFFF"/>
        <w:spacing w:before="0" w:beforeAutospacing="0" w:after="0" w:afterAutospacing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844800"/>
            <wp:effectExtent l="0" t="0" r="3810" b="317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E760E">
      <w:pPr>
        <w:ind w:left="420" w:leftChars="0"/>
        <w:rPr>
          <w:rStyle w:val="18"/>
          <w:rFonts w:hint="eastAsia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</w:pPr>
      <w:r>
        <w:rPr>
          <w:rStyle w:val="18"/>
          <w:rFonts w:hint="eastAsia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  <w:t>已注册的委托方可采用账号密码和手机/证件号码两种方式进行登录。</w:t>
      </w:r>
    </w:p>
    <w:p w14:paraId="5F9ADE42">
      <w:pPr>
        <w:ind w:left="420" w:leftChars="0"/>
        <w:rPr>
          <w:rStyle w:val="18"/>
          <w:rFonts w:hint="eastAsia" w:ascii="宋体" w:hAnsi="宋体" w:eastAsia="宋体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</w:pPr>
    </w:p>
    <w:p w14:paraId="5AC65D20">
      <w:pPr>
        <w:ind w:left="420" w:leftChars="0"/>
        <w:rPr>
          <w:rStyle w:val="18"/>
          <w:rFonts w:hint="default" w:ascii="宋体" w:hAnsi="宋体" w:eastAsia="宋体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</w:pPr>
      <w:r>
        <w:rPr>
          <w:rStyle w:val="18"/>
          <w:rFonts w:hint="eastAsia" w:ascii="宋体" w:hAnsi="宋体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  <w:t>2）登录成功后，会重新跳转到网站首页，</w:t>
      </w:r>
      <w:r>
        <w:rPr>
          <w:rStyle w:val="18"/>
          <w:rFonts w:hint="eastAsia" w:ascii="宋体" w:hAnsi="宋体" w:eastAsia="宋体" w:cs="宋体"/>
          <w:b w:val="0"/>
          <w:bCs w:val="0"/>
          <w:color w:val="333333"/>
          <w:sz w:val="21"/>
          <w:szCs w:val="21"/>
        </w:rPr>
        <w:t>点击</w:t>
      </w:r>
      <w:r>
        <w:rPr>
          <w:rStyle w:val="18"/>
          <w:rFonts w:hint="eastAsia" w:ascii="宋体" w:hAnsi="宋体" w:eastAsia="宋体" w:cs="宋体"/>
          <w:b w:val="0"/>
          <w:bCs w:val="0"/>
          <w:color w:val="333333"/>
          <w:sz w:val="21"/>
          <w:szCs w:val="21"/>
          <w:lang w:val="en-US" w:eastAsia="zh-CN"/>
        </w:rPr>
        <w:t>首页</w:t>
      </w:r>
      <w:r>
        <w:rPr>
          <w:rStyle w:val="18"/>
          <w:rFonts w:hint="eastAsia" w:ascii="宋体" w:hAnsi="宋体" w:cs="宋体"/>
          <w:b w:val="0"/>
          <w:bCs w:val="0"/>
          <w:color w:val="333333"/>
          <w:sz w:val="21"/>
          <w:szCs w:val="21"/>
          <w:lang w:val="en-US" w:eastAsia="zh-CN"/>
        </w:rPr>
        <w:t>“阳光招商招租服务平台”进入新平台</w:t>
      </w:r>
      <w:r>
        <w:rPr>
          <w:rStyle w:val="18"/>
          <w:rFonts w:hint="eastAsia" w:cs="宋体"/>
          <w:b w:val="0"/>
          <w:bCs w:val="0"/>
          <w:color w:val="333333"/>
          <w:sz w:val="21"/>
          <w:szCs w:val="21"/>
          <w:lang w:val="en-US" w:eastAsia="zh-CN"/>
        </w:rPr>
        <w:t>，</w:t>
      </w:r>
      <w:r>
        <w:rPr>
          <w:rStyle w:val="18"/>
          <w:rFonts w:hint="eastAsia" w:ascii="宋体" w:hAnsi="宋体" w:cs="宋体"/>
          <w:b w:val="0"/>
          <w:bCs w:val="0"/>
          <w:color w:val="333333"/>
          <w:kern w:val="2"/>
          <w:sz w:val="21"/>
          <w:szCs w:val="21"/>
          <w:lang w:val="en-US" w:eastAsia="zh-CN" w:bidi="ar-SA"/>
        </w:rPr>
        <w:t>如下图所示：</w:t>
      </w:r>
    </w:p>
    <w:p w14:paraId="26F97059">
      <w:pPr>
        <w:ind w:left="420" w:leftChars="0"/>
      </w:pPr>
    </w:p>
    <w:p w14:paraId="6EC51B30">
      <w:pPr>
        <w:pStyle w:val="15"/>
        <w:numPr>
          <w:ilvl w:val="0"/>
          <w:numId w:val="0"/>
        </w:numPr>
        <w:shd w:val="clear" w:color="auto" w:fill="FFFFFF"/>
        <w:spacing w:before="0" w:beforeAutospacing="0" w:after="0" w:afterAutospacing="0"/>
        <w:jc w:val="both"/>
      </w:pPr>
      <w:r>
        <w:drawing>
          <wp:inline distT="0" distB="0" distL="114300" distR="114300">
            <wp:extent cx="5260340" cy="2815590"/>
            <wp:effectExtent l="0" t="0" r="6985" b="3810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D1B5">
      <w:pPr>
        <w:ind w:left="420" w:leftChars="0"/>
        <w:rPr>
          <w:rFonts w:hint="eastAsia"/>
          <w:lang w:val="en-US" w:eastAsia="zh-CN"/>
        </w:rPr>
      </w:pPr>
    </w:p>
    <w:p w14:paraId="3DFFB3CE">
      <w:p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温馨提示：</w:t>
      </w:r>
    </w:p>
    <w:p w14:paraId="16FD7DBF">
      <w:pPr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若登录成功后跳转的页面是老系统的用户中心，可以点击“首页”按钮跳转回网站首页，然后点击进入新平台。</w:t>
      </w:r>
    </w:p>
    <w:p w14:paraId="7E984682">
      <w:pPr>
        <w:pStyle w:val="15"/>
        <w:numPr>
          <w:ilvl w:val="0"/>
          <w:numId w:val="0"/>
        </w:numPr>
        <w:shd w:val="clear" w:color="auto" w:fill="FFFFFF"/>
        <w:spacing w:before="0" w:beforeAutospacing="0" w:after="0" w:afterAutospacing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720" cy="2924810"/>
            <wp:effectExtent l="0" t="0" r="5080" b="8890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1490">
      <w:pPr>
        <w:numPr>
          <w:ilvl w:val="0"/>
          <w:numId w:val="4"/>
        </w:numPr>
        <w:ind w:left="840" w:leftChars="0"/>
        <w:rPr>
          <w:rStyle w:val="18"/>
          <w:rFonts w:hint="eastAsia" w:ascii="Times New Roman" w:hAnsi="Times New Roman" w:eastAsia="宋体" w:cs="宋体"/>
          <w:b w:val="0"/>
          <w:bCs w:val="0"/>
          <w:color w:val="333333"/>
          <w:kern w:val="0"/>
          <w:sz w:val="21"/>
          <w:szCs w:val="21"/>
          <w:lang w:val="en-US" w:eastAsia="zh-CN" w:bidi="ar-SA"/>
        </w:rPr>
      </w:pPr>
      <w:r>
        <w:rPr>
          <w:rStyle w:val="18"/>
          <w:rFonts w:hint="eastAsia" w:ascii="Times New Roman" w:hAnsi="Times New Roman" w:eastAsia="宋体" w:cs="宋体"/>
          <w:b w:val="0"/>
          <w:bCs w:val="0"/>
          <w:color w:val="333333"/>
          <w:kern w:val="0"/>
          <w:sz w:val="21"/>
          <w:szCs w:val="21"/>
          <w:lang w:val="en-US" w:eastAsia="zh-CN" w:bidi="ar-SA"/>
        </w:rPr>
        <w:t>进入新平台后，在</w:t>
      </w:r>
      <w:r>
        <w:rPr>
          <w:rStyle w:val="18"/>
          <w:rFonts w:hint="eastAsia" w:cs="宋体"/>
          <w:b w:val="0"/>
          <w:bCs w:val="0"/>
          <w:color w:val="333333"/>
          <w:kern w:val="0"/>
          <w:sz w:val="21"/>
          <w:szCs w:val="21"/>
          <w:lang w:val="en-US" w:eastAsia="zh-CN" w:bidi="ar-SA"/>
        </w:rPr>
        <w:t>“</w:t>
      </w:r>
      <w:r>
        <w:rPr>
          <w:rStyle w:val="18"/>
          <w:rFonts w:hint="eastAsia" w:ascii="Times New Roman" w:hAnsi="Times New Roman" w:eastAsia="宋体" w:cs="宋体"/>
          <w:b w:val="0"/>
          <w:bCs w:val="0"/>
          <w:color w:val="333333"/>
          <w:kern w:val="0"/>
          <w:sz w:val="21"/>
          <w:szCs w:val="21"/>
          <w:lang w:val="en-US" w:eastAsia="zh-CN" w:bidi="ar-SA"/>
        </w:rPr>
        <w:t>用户入口</w:t>
      </w:r>
      <w:r>
        <w:rPr>
          <w:rStyle w:val="18"/>
          <w:rFonts w:hint="eastAsia" w:cs="宋体"/>
          <w:b w:val="0"/>
          <w:bCs w:val="0"/>
          <w:color w:val="333333"/>
          <w:kern w:val="0"/>
          <w:sz w:val="21"/>
          <w:szCs w:val="21"/>
          <w:lang w:val="en-US" w:eastAsia="zh-CN" w:bidi="ar-SA"/>
        </w:rPr>
        <w:t>”</w:t>
      </w:r>
      <w:r>
        <w:rPr>
          <w:rStyle w:val="18"/>
          <w:rFonts w:hint="eastAsia" w:ascii="Times New Roman" w:hAnsi="Times New Roman" w:eastAsia="宋体" w:cs="宋体"/>
          <w:b w:val="0"/>
          <w:bCs w:val="0"/>
          <w:color w:val="333333"/>
          <w:kern w:val="0"/>
          <w:sz w:val="21"/>
          <w:szCs w:val="21"/>
          <w:lang w:val="en-US" w:eastAsia="zh-CN" w:bidi="ar-SA"/>
        </w:rPr>
        <w:t>处选择“委托方入口”后，进入委托方用户中心，如下图所示：</w:t>
      </w:r>
    </w:p>
    <w:p w14:paraId="3898AAB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957195"/>
            <wp:effectExtent l="0" t="0" r="8255" b="5080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D93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57165" cy="2971800"/>
            <wp:effectExtent l="0" t="0" r="635" b="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6D7E">
      <w:pPr>
        <w:pStyle w:val="12"/>
        <w:ind w:left="420" w:leftChars="0"/>
        <w:rPr>
          <w:rFonts w:hint="eastAsia"/>
          <w:lang w:val="en-US" w:eastAsia="zh-CN"/>
        </w:rPr>
      </w:pPr>
    </w:p>
    <w:p w14:paraId="56FF306D">
      <w:pPr>
        <w:pStyle w:val="3"/>
        <w:rPr>
          <w:rFonts w:hint="default"/>
          <w:lang w:val="en-US" w:eastAsia="zh-CN"/>
        </w:rPr>
      </w:pPr>
      <w:bookmarkStart w:id="4" w:name="_Toc32567"/>
      <w:r>
        <w:rPr>
          <w:rFonts w:hint="eastAsia"/>
          <w:lang w:val="en-US" w:eastAsia="zh-CN"/>
        </w:rPr>
        <w:t>完善并申请成为委托方</w:t>
      </w:r>
      <w:bookmarkEnd w:id="4"/>
    </w:p>
    <w:p w14:paraId="7AB194FD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default" w:cs="Times New Roman"/>
          <w:kern w:val="2"/>
          <w:sz w:val="21"/>
          <w:szCs w:val="20"/>
          <w:lang w:val="en-US" w:eastAsia="zh-CN" w:bidi="ar-SA"/>
        </w:rPr>
      </w:pPr>
      <w:r>
        <w:rPr>
          <w:rFonts w:hint="eastAsia" w:cs="Times New Roman"/>
          <w:kern w:val="2"/>
          <w:sz w:val="21"/>
          <w:szCs w:val="20"/>
          <w:lang w:val="en-US" w:eastAsia="zh-CN" w:bidi="ar-SA"/>
        </w:rPr>
        <w:t>新注册的委托方用户，在首次使用委托方身份登录时，进入用户中心后，系统会提示需要完善委托方信息，按要求选择隶属关系，</w:t>
      </w:r>
      <w:r>
        <w:rPr>
          <w:rFonts w:hint="eastAsia"/>
          <w:lang w:val="en-US" w:eastAsia="zh-CN"/>
        </w:rPr>
        <w:t>补充企业信息、法人信息、监管信息（非必填，代理不需要填写），上传营业执照等附件材料后提交交易机构审核。</w:t>
      </w:r>
    </w:p>
    <w:p w14:paraId="1A2BDCB9">
      <w:pPr>
        <w:pStyle w:val="12"/>
      </w:pPr>
    </w:p>
    <w:p w14:paraId="530A34B1">
      <w:pPr>
        <w:pStyle w:val="12"/>
      </w:pPr>
      <w:r>
        <w:drawing>
          <wp:inline distT="0" distB="0" distL="114300" distR="114300">
            <wp:extent cx="5271135" cy="2864485"/>
            <wp:effectExtent l="0" t="0" r="5715" b="254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F6B5">
      <w:pPr>
        <w:pStyle w:val="12"/>
      </w:pPr>
    </w:p>
    <w:p w14:paraId="4DE2BF94">
      <w:pPr>
        <w:pStyle w:val="12"/>
      </w:pPr>
      <w:r>
        <w:drawing>
          <wp:inline distT="0" distB="0" distL="114300" distR="114300">
            <wp:extent cx="5269865" cy="2454910"/>
            <wp:effectExtent l="0" t="0" r="6985" b="254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A3511">
      <w:pPr>
        <w:pStyle w:val="12"/>
        <w:ind w:left="420" w:leftChars="0"/>
      </w:pPr>
      <w:r>
        <w:rPr>
          <w:rFonts w:hint="eastAsia"/>
          <w:lang w:val="en-US" w:eastAsia="zh-CN"/>
        </w:rPr>
        <w:t>提交成功后，后台交易机构内部可以审核委托方资格，审核通过后该用户可具备项目委托资格。</w:t>
      </w:r>
    </w:p>
    <w:p w14:paraId="6BE8CA96">
      <w:pPr>
        <w:pStyle w:val="12"/>
        <w:ind w:left="420" w:leftChars="0"/>
        <w:rPr>
          <w:rFonts w:hint="eastAsia"/>
          <w:lang w:val="en-US" w:eastAsia="zh-CN"/>
        </w:rPr>
      </w:pPr>
    </w:p>
    <w:p w14:paraId="0828903F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</w:pPr>
      <w:r>
        <w:drawing>
          <wp:inline distT="0" distB="0" distL="114300" distR="114300">
            <wp:extent cx="5274310" cy="2944495"/>
            <wp:effectExtent l="0" t="0" r="2540" b="825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C8E8">
      <w:pPr>
        <w:pStyle w:val="12"/>
      </w:pPr>
    </w:p>
    <w:p w14:paraId="3DCDA5F3">
      <w:pPr>
        <w:pStyle w:val="12"/>
      </w:pPr>
      <w:r>
        <w:drawing>
          <wp:inline distT="0" distB="0" distL="114300" distR="114300">
            <wp:extent cx="5269230" cy="2955290"/>
            <wp:effectExtent l="0" t="0" r="7620" b="698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A78E">
      <w:pPr>
        <w:pStyle w:val="12"/>
        <w:rPr>
          <w:rFonts w:hint="eastAsia"/>
          <w:lang w:val="en-US" w:eastAsia="zh-CN"/>
        </w:rPr>
      </w:pPr>
    </w:p>
    <w:p w14:paraId="24E727BE">
      <w:pPr>
        <w:pStyle w:val="12"/>
      </w:pPr>
    </w:p>
    <w:p w14:paraId="594FEB30">
      <w:pPr>
        <w:rPr>
          <w:rFonts w:hint="default"/>
          <w:lang w:val="en-US" w:eastAsia="zh-CN"/>
        </w:rPr>
      </w:pPr>
    </w:p>
    <w:p w14:paraId="2AB0F376"/>
    <w:p w14:paraId="3E743EC9">
      <w:pPr>
        <w:pStyle w:val="2"/>
        <w:bidi w:val="0"/>
        <w:rPr>
          <w:rFonts w:hint="default"/>
          <w:lang w:val="en-US" w:eastAsia="zh-CN"/>
        </w:rPr>
      </w:pPr>
      <w:bookmarkStart w:id="5" w:name="_Toc739"/>
      <w:r>
        <w:rPr>
          <w:rFonts w:hint="eastAsia"/>
          <w:lang w:val="en-US" w:eastAsia="zh-CN"/>
        </w:rPr>
        <w:t>委托项目管理</w:t>
      </w:r>
      <w:bookmarkEnd w:id="5"/>
    </w:p>
    <w:p w14:paraId="5A04C0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委托方提交交易中心受理后，委托方可以用户中心-交易中心查看项目交易状态。</w:t>
      </w:r>
    </w:p>
    <w:p w14:paraId="77813536">
      <w:pPr>
        <w:pStyle w:val="3"/>
      </w:pPr>
      <w:bookmarkStart w:id="6" w:name="_Toc31464"/>
      <w:r>
        <w:rPr>
          <w:rFonts w:hint="eastAsia"/>
          <w:lang w:val="en-US" w:eastAsia="zh-CN"/>
        </w:rPr>
        <w:t>委托中项目</w:t>
      </w:r>
      <w:bookmarkEnd w:id="6"/>
    </w:p>
    <w:p w14:paraId="73F03F1F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委托中项目列表显示尚未挂牌的委托项目。包括录入中、审核中、已退回的项目，可根据状态进行查询项目，在进度流程图下方可以查看所处状态及提示信息，如下图所示：</w:t>
      </w:r>
    </w:p>
    <w:p w14:paraId="67BB820F">
      <w:r>
        <w:drawing>
          <wp:inline distT="0" distB="0" distL="114300" distR="114300">
            <wp:extent cx="5267960" cy="2209800"/>
            <wp:effectExtent l="0" t="0" r="889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F60CC">
      <w:pPr>
        <w:pStyle w:val="3"/>
      </w:pPr>
      <w:bookmarkStart w:id="7" w:name="_Toc23407"/>
      <w:r>
        <w:rPr>
          <w:rFonts w:hint="eastAsia"/>
          <w:lang w:val="en-US" w:eastAsia="zh-CN"/>
        </w:rPr>
        <w:t>已挂牌项目</w:t>
      </w:r>
      <w:bookmarkEnd w:id="7"/>
    </w:p>
    <w:p w14:paraId="7052A1AC">
      <w:pPr>
        <w:pStyle w:val="1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已挂牌项目列表中展示挂牌后的委托项目，以及挂牌项目后续交易。</w:t>
      </w:r>
    </w:p>
    <w:p w14:paraId="60DE1092">
      <w:pPr>
        <w:pStyle w:val="1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可根据状态查询项目，包括挂牌中、交易中、成交、归档、全部项目。在进度流程图下方可以查看所处状态及提示信息，如下图所示：</w:t>
      </w:r>
    </w:p>
    <w:p w14:paraId="68F5BDAB">
      <w:pPr>
        <w:pStyle w:val="12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584450"/>
            <wp:effectExtent l="0" t="0" r="8890" b="635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A4B3">
      <w:pPr>
        <w:pStyle w:val="3"/>
      </w:pPr>
      <w:bookmarkStart w:id="8" w:name="_Toc11015"/>
      <w:r>
        <w:rPr>
          <w:rFonts w:hint="eastAsia"/>
          <w:lang w:val="en-US" w:eastAsia="zh-CN"/>
        </w:rPr>
        <w:t>已成交项目</w:t>
      </w:r>
      <w:bookmarkEnd w:id="8"/>
    </w:p>
    <w:p w14:paraId="511A0B00">
      <w:pPr>
        <w:pStyle w:val="1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已成交项目列表中展示已成交的委托项目，可以跟踪后续成交签约和结算事项。包括合同签约、交易凭证、价款划出等。</w:t>
      </w:r>
    </w:p>
    <w:p w14:paraId="5DCBF89A">
      <w:pPr>
        <w:pStyle w:val="12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773045"/>
            <wp:effectExtent l="0" t="0" r="6985" b="825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96C5">
      <w:pPr>
        <w:rPr>
          <w:rFonts w:hint="eastAsia"/>
          <w:lang w:val="en-US" w:eastAsia="zh-CN"/>
        </w:rPr>
      </w:pPr>
    </w:p>
    <w:p w14:paraId="68548210">
      <w:pPr>
        <w:pStyle w:val="2"/>
        <w:bidi w:val="0"/>
        <w:rPr>
          <w:rFonts w:hint="default"/>
          <w:lang w:val="en-US" w:eastAsia="zh-CN"/>
        </w:rPr>
      </w:pPr>
      <w:bookmarkStart w:id="9" w:name="_Toc18406"/>
      <w:r>
        <w:rPr>
          <w:rFonts w:hint="eastAsia"/>
          <w:lang w:val="en-US" w:eastAsia="zh-CN"/>
        </w:rPr>
        <w:t>待办事项</w:t>
      </w:r>
      <w:bookmarkEnd w:id="9"/>
    </w:p>
    <w:p w14:paraId="488BB8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委托方用户中心的待办事项列表中，会显示需要委托方办理的任务。包括委托项目退回后修改、委托方确认项目公告等。</w:t>
      </w:r>
    </w:p>
    <w:p w14:paraId="4901A2BA">
      <w:pPr>
        <w:pStyle w:val="3"/>
      </w:pPr>
      <w:bookmarkStart w:id="10" w:name="_Toc28871"/>
      <w:r>
        <w:rPr>
          <w:rFonts w:hint="eastAsia"/>
          <w:lang w:val="en-US" w:eastAsia="zh-CN"/>
        </w:rPr>
        <w:t>委托方修改</w:t>
      </w:r>
      <w:bookmarkEnd w:id="10"/>
    </w:p>
    <w:p w14:paraId="6D7B84D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委托项目被退回后，可以在我的待办列表中重新修改。点击“办理”后重新修改项目进行提交。</w:t>
      </w:r>
    </w:p>
    <w:p w14:paraId="474821EB">
      <w:pPr>
        <w:pStyle w:val="12"/>
      </w:pPr>
      <w:r>
        <w:drawing>
          <wp:inline distT="0" distB="0" distL="114300" distR="114300">
            <wp:extent cx="5268595" cy="211010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91E79">
      <w:pPr>
        <w:pStyle w:val="12"/>
      </w:pPr>
    </w:p>
    <w:p w14:paraId="67DC0712">
      <w:pPr>
        <w:pStyle w:val="12"/>
      </w:pPr>
      <w:r>
        <w:drawing>
          <wp:inline distT="0" distB="0" distL="114300" distR="114300">
            <wp:extent cx="5268595" cy="2534285"/>
            <wp:effectExtent l="0" t="0" r="825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28A0">
      <w:pPr>
        <w:pStyle w:val="12"/>
        <w:ind w:left="420"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需要注意的是，退回修改时委托方无法自行变更审核部门。</w:t>
      </w:r>
    </w:p>
    <w:p w14:paraId="241ABABA">
      <w:pPr>
        <w:pStyle w:val="3"/>
      </w:pPr>
      <w:bookmarkStart w:id="11" w:name="_Toc20568"/>
      <w:r>
        <w:rPr>
          <w:rFonts w:hint="eastAsia"/>
          <w:lang w:val="en-US" w:eastAsia="zh-CN"/>
        </w:rPr>
        <w:t>委托方项目公告确认</w:t>
      </w:r>
      <w:bookmarkEnd w:id="11"/>
    </w:p>
    <w:p w14:paraId="2C55DAF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若委托项目选择需要委托方确认项目公告，交易中心内部审核后，会需要委托方确认公告。</w:t>
      </w:r>
    </w:p>
    <w:p w14:paraId="7A37E846">
      <w:pPr>
        <w:pStyle w:val="1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在我的待办列表中可以查看委托方项目公告确认待办，点击“办理”后，查看公告信息并给出审核意见。</w:t>
      </w:r>
    </w:p>
    <w:p w14:paraId="47210318">
      <w:pPr>
        <w:pStyle w:val="12"/>
      </w:pPr>
      <w:r>
        <w:drawing>
          <wp:inline distT="0" distB="0" distL="114300" distR="114300">
            <wp:extent cx="5266690" cy="1646555"/>
            <wp:effectExtent l="0" t="0" r="63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7D9A">
      <w:pPr>
        <w:pStyle w:val="12"/>
      </w:pPr>
    </w:p>
    <w:p w14:paraId="7D79D54D">
      <w:pPr>
        <w:pStyle w:val="12"/>
      </w:pPr>
      <w:r>
        <w:drawing>
          <wp:inline distT="0" distB="0" distL="114300" distR="114300">
            <wp:extent cx="5269865" cy="2633345"/>
            <wp:effectExtent l="0" t="0" r="698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281E">
      <w:pPr>
        <w:pStyle w:val="12"/>
      </w:pPr>
    </w:p>
    <w:p w14:paraId="4A0FEF5C"/>
    <w:p w14:paraId="1FCE6116">
      <w:pPr>
        <w:pStyle w:val="12"/>
      </w:pPr>
    </w:p>
    <w:p w14:paraId="00E69719">
      <w:pPr>
        <w:pStyle w:val="12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CC0B5"/>
    <w:multiLevelType w:val="singleLevel"/>
    <w:tmpl w:val="972CC0B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C2BD86D8"/>
    <w:multiLevelType w:val="singleLevel"/>
    <w:tmpl w:val="C2BD86D8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2">
    <w:nsid w:val="3291745A"/>
    <w:multiLevelType w:val="multilevel"/>
    <w:tmpl w:val="3291745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673441F7"/>
    <w:multiLevelType w:val="singleLevel"/>
    <w:tmpl w:val="673441F7"/>
    <w:lvl w:ilvl="0" w:tentative="0">
      <w:start w:val="3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3A2389"/>
    <w:rsid w:val="002B6923"/>
    <w:rsid w:val="0058523E"/>
    <w:rsid w:val="00B71F65"/>
    <w:rsid w:val="00C11035"/>
    <w:rsid w:val="00C6664C"/>
    <w:rsid w:val="00E15234"/>
    <w:rsid w:val="00FE7B94"/>
    <w:rsid w:val="019329D2"/>
    <w:rsid w:val="01C626F2"/>
    <w:rsid w:val="01DB1C83"/>
    <w:rsid w:val="029A38EC"/>
    <w:rsid w:val="02AB5AF9"/>
    <w:rsid w:val="02C32E43"/>
    <w:rsid w:val="02E42DB9"/>
    <w:rsid w:val="02EB05EB"/>
    <w:rsid w:val="031C69F7"/>
    <w:rsid w:val="03C055D4"/>
    <w:rsid w:val="03D56A09"/>
    <w:rsid w:val="04455AD9"/>
    <w:rsid w:val="04A46CA4"/>
    <w:rsid w:val="04AE367F"/>
    <w:rsid w:val="04D07A99"/>
    <w:rsid w:val="05545FD4"/>
    <w:rsid w:val="055B3806"/>
    <w:rsid w:val="059C5BCD"/>
    <w:rsid w:val="068723D9"/>
    <w:rsid w:val="06FF01C2"/>
    <w:rsid w:val="073F0F06"/>
    <w:rsid w:val="07487DBA"/>
    <w:rsid w:val="075A189C"/>
    <w:rsid w:val="07AA2823"/>
    <w:rsid w:val="07CF5DE6"/>
    <w:rsid w:val="07F341CA"/>
    <w:rsid w:val="08381BDD"/>
    <w:rsid w:val="089B03BE"/>
    <w:rsid w:val="08CE609D"/>
    <w:rsid w:val="09153CCC"/>
    <w:rsid w:val="095C18FB"/>
    <w:rsid w:val="09B603FC"/>
    <w:rsid w:val="09FC6C3A"/>
    <w:rsid w:val="0A764C3F"/>
    <w:rsid w:val="0A982E07"/>
    <w:rsid w:val="0ABF65E6"/>
    <w:rsid w:val="0AE55920"/>
    <w:rsid w:val="0B136931"/>
    <w:rsid w:val="0B3532C7"/>
    <w:rsid w:val="0B3C7C36"/>
    <w:rsid w:val="0B5A4560"/>
    <w:rsid w:val="0B670BE4"/>
    <w:rsid w:val="0B73117E"/>
    <w:rsid w:val="0B8E420A"/>
    <w:rsid w:val="0C395673"/>
    <w:rsid w:val="0C4C0F18"/>
    <w:rsid w:val="0C662A91"/>
    <w:rsid w:val="0C760F26"/>
    <w:rsid w:val="0CDB522D"/>
    <w:rsid w:val="0D735465"/>
    <w:rsid w:val="0DE545B5"/>
    <w:rsid w:val="0E4A4418"/>
    <w:rsid w:val="0F5A68DD"/>
    <w:rsid w:val="0F7756E1"/>
    <w:rsid w:val="0F7B4AA5"/>
    <w:rsid w:val="0F865924"/>
    <w:rsid w:val="10AC13BA"/>
    <w:rsid w:val="10EC7A09"/>
    <w:rsid w:val="11034D52"/>
    <w:rsid w:val="11056D1C"/>
    <w:rsid w:val="113E7AD2"/>
    <w:rsid w:val="119C142F"/>
    <w:rsid w:val="11F528ED"/>
    <w:rsid w:val="121C431D"/>
    <w:rsid w:val="122E4051"/>
    <w:rsid w:val="12C7072D"/>
    <w:rsid w:val="13166FBF"/>
    <w:rsid w:val="134C0C32"/>
    <w:rsid w:val="13655850"/>
    <w:rsid w:val="14C34F24"/>
    <w:rsid w:val="14E07884"/>
    <w:rsid w:val="14E82BDD"/>
    <w:rsid w:val="150F1F18"/>
    <w:rsid w:val="151E610F"/>
    <w:rsid w:val="152A6D51"/>
    <w:rsid w:val="155913E5"/>
    <w:rsid w:val="15EE7D7F"/>
    <w:rsid w:val="15F64E85"/>
    <w:rsid w:val="16111CBF"/>
    <w:rsid w:val="165A3666"/>
    <w:rsid w:val="170548E3"/>
    <w:rsid w:val="174D6D27"/>
    <w:rsid w:val="17BD3EAD"/>
    <w:rsid w:val="17BE19D3"/>
    <w:rsid w:val="17DE3E23"/>
    <w:rsid w:val="18714C97"/>
    <w:rsid w:val="18730A0F"/>
    <w:rsid w:val="18820C52"/>
    <w:rsid w:val="19FF69FF"/>
    <w:rsid w:val="1A0256C7"/>
    <w:rsid w:val="1A0F4768"/>
    <w:rsid w:val="1A3A2389"/>
    <w:rsid w:val="1A3B730B"/>
    <w:rsid w:val="1A750A6F"/>
    <w:rsid w:val="1AC92B69"/>
    <w:rsid w:val="1ACB4B33"/>
    <w:rsid w:val="1B041DF3"/>
    <w:rsid w:val="1BA55384"/>
    <w:rsid w:val="1BB2184F"/>
    <w:rsid w:val="1BC25F36"/>
    <w:rsid w:val="1BF607AC"/>
    <w:rsid w:val="1BFE4A94"/>
    <w:rsid w:val="1C0E7EC3"/>
    <w:rsid w:val="1C27223D"/>
    <w:rsid w:val="1CF10155"/>
    <w:rsid w:val="1D1F2F14"/>
    <w:rsid w:val="1D632E00"/>
    <w:rsid w:val="1D8B2357"/>
    <w:rsid w:val="1DAB29F9"/>
    <w:rsid w:val="1DBA49EB"/>
    <w:rsid w:val="1E876FC3"/>
    <w:rsid w:val="1EE77A61"/>
    <w:rsid w:val="1F5D41BA"/>
    <w:rsid w:val="1F8452B0"/>
    <w:rsid w:val="20230F6D"/>
    <w:rsid w:val="202A5E57"/>
    <w:rsid w:val="20360CA0"/>
    <w:rsid w:val="20436F19"/>
    <w:rsid w:val="205E1FA5"/>
    <w:rsid w:val="206B36E8"/>
    <w:rsid w:val="20A35C0A"/>
    <w:rsid w:val="20FA1CCE"/>
    <w:rsid w:val="215A09BE"/>
    <w:rsid w:val="21AA36F4"/>
    <w:rsid w:val="21DA38AD"/>
    <w:rsid w:val="223B434C"/>
    <w:rsid w:val="22673393"/>
    <w:rsid w:val="22851A6B"/>
    <w:rsid w:val="22B3482A"/>
    <w:rsid w:val="23515DF1"/>
    <w:rsid w:val="236D2C2B"/>
    <w:rsid w:val="23A203FB"/>
    <w:rsid w:val="23C15745"/>
    <w:rsid w:val="24174945"/>
    <w:rsid w:val="24390D5F"/>
    <w:rsid w:val="24AF4B7D"/>
    <w:rsid w:val="24EC7B7F"/>
    <w:rsid w:val="25457290"/>
    <w:rsid w:val="256C2A6E"/>
    <w:rsid w:val="2580651A"/>
    <w:rsid w:val="25910727"/>
    <w:rsid w:val="259F3E4E"/>
    <w:rsid w:val="25BF34E6"/>
    <w:rsid w:val="26192BF6"/>
    <w:rsid w:val="271E423C"/>
    <w:rsid w:val="279E2283"/>
    <w:rsid w:val="27AC7A9A"/>
    <w:rsid w:val="27F05BD9"/>
    <w:rsid w:val="281F201A"/>
    <w:rsid w:val="282C52C9"/>
    <w:rsid w:val="28333D17"/>
    <w:rsid w:val="28FC52BC"/>
    <w:rsid w:val="29714AF7"/>
    <w:rsid w:val="298F1421"/>
    <w:rsid w:val="29D62BAC"/>
    <w:rsid w:val="2A1738F0"/>
    <w:rsid w:val="2A3A313B"/>
    <w:rsid w:val="2AE5754B"/>
    <w:rsid w:val="2B287437"/>
    <w:rsid w:val="2BF57C61"/>
    <w:rsid w:val="2C5C1A8E"/>
    <w:rsid w:val="2C7C7A3B"/>
    <w:rsid w:val="2C842D93"/>
    <w:rsid w:val="2C972AC7"/>
    <w:rsid w:val="2CC47634"/>
    <w:rsid w:val="2D3E2F42"/>
    <w:rsid w:val="2D6B0926"/>
    <w:rsid w:val="2D713318"/>
    <w:rsid w:val="2D8C1F00"/>
    <w:rsid w:val="2E0C1292"/>
    <w:rsid w:val="2E5A0250"/>
    <w:rsid w:val="2E8250B1"/>
    <w:rsid w:val="2E953036"/>
    <w:rsid w:val="2EA901B0"/>
    <w:rsid w:val="2EFA10EB"/>
    <w:rsid w:val="2F5C3B54"/>
    <w:rsid w:val="2FC17E5A"/>
    <w:rsid w:val="3011493E"/>
    <w:rsid w:val="31BC6B2B"/>
    <w:rsid w:val="32470AEB"/>
    <w:rsid w:val="329553D0"/>
    <w:rsid w:val="3333106F"/>
    <w:rsid w:val="334B0167"/>
    <w:rsid w:val="339F04B3"/>
    <w:rsid w:val="34880F47"/>
    <w:rsid w:val="34AA5361"/>
    <w:rsid w:val="34B61F58"/>
    <w:rsid w:val="34FA62E8"/>
    <w:rsid w:val="35071D38"/>
    <w:rsid w:val="35334787"/>
    <w:rsid w:val="35496928"/>
    <w:rsid w:val="35551771"/>
    <w:rsid w:val="35F20D6E"/>
    <w:rsid w:val="366B28CE"/>
    <w:rsid w:val="36794FEB"/>
    <w:rsid w:val="377F4883"/>
    <w:rsid w:val="380354B4"/>
    <w:rsid w:val="383C2774"/>
    <w:rsid w:val="38BD38B5"/>
    <w:rsid w:val="395F496C"/>
    <w:rsid w:val="397B107A"/>
    <w:rsid w:val="39BC3B6C"/>
    <w:rsid w:val="39C20ECF"/>
    <w:rsid w:val="3A43603C"/>
    <w:rsid w:val="3A4B3142"/>
    <w:rsid w:val="3A663AD8"/>
    <w:rsid w:val="3A742699"/>
    <w:rsid w:val="3AF235BE"/>
    <w:rsid w:val="3C074E47"/>
    <w:rsid w:val="3C4D13F4"/>
    <w:rsid w:val="3C687FDC"/>
    <w:rsid w:val="3D31661F"/>
    <w:rsid w:val="3D346110"/>
    <w:rsid w:val="3D4A148F"/>
    <w:rsid w:val="3D801355"/>
    <w:rsid w:val="3DA54918"/>
    <w:rsid w:val="3DA94408"/>
    <w:rsid w:val="3DE713D4"/>
    <w:rsid w:val="3EE55913"/>
    <w:rsid w:val="3F5E56C6"/>
    <w:rsid w:val="40322DDA"/>
    <w:rsid w:val="4044666A"/>
    <w:rsid w:val="409A272E"/>
    <w:rsid w:val="40D43E92"/>
    <w:rsid w:val="410F0A26"/>
    <w:rsid w:val="412C782A"/>
    <w:rsid w:val="41D35EF7"/>
    <w:rsid w:val="41E719A3"/>
    <w:rsid w:val="421877CE"/>
    <w:rsid w:val="42A861D3"/>
    <w:rsid w:val="42AC04F6"/>
    <w:rsid w:val="42B555FD"/>
    <w:rsid w:val="434C41B3"/>
    <w:rsid w:val="436C6603"/>
    <w:rsid w:val="43E30E9C"/>
    <w:rsid w:val="440A7BCA"/>
    <w:rsid w:val="44DA134B"/>
    <w:rsid w:val="44F87A23"/>
    <w:rsid w:val="45294080"/>
    <w:rsid w:val="45723C79"/>
    <w:rsid w:val="458B0897"/>
    <w:rsid w:val="45F06817"/>
    <w:rsid w:val="461B3B13"/>
    <w:rsid w:val="469B2D5C"/>
    <w:rsid w:val="46E666CD"/>
    <w:rsid w:val="47152B0E"/>
    <w:rsid w:val="472D60AA"/>
    <w:rsid w:val="47705F96"/>
    <w:rsid w:val="479003E6"/>
    <w:rsid w:val="479C322F"/>
    <w:rsid w:val="47D227AD"/>
    <w:rsid w:val="47DB3D58"/>
    <w:rsid w:val="47E524E0"/>
    <w:rsid w:val="485633DE"/>
    <w:rsid w:val="487321E2"/>
    <w:rsid w:val="48904B42"/>
    <w:rsid w:val="48C04CFB"/>
    <w:rsid w:val="48E1539E"/>
    <w:rsid w:val="48F7696F"/>
    <w:rsid w:val="4944592C"/>
    <w:rsid w:val="49B605D8"/>
    <w:rsid w:val="4A064990"/>
    <w:rsid w:val="4A111CB3"/>
    <w:rsid w:val="4AC565F9"/>
    <w:rsid w:val="4AF07B1A"/>
    <w:rsid w:val="4AF33166"/>
    <w:rsid w:val="4B3F0159"/>
    <w:rsid w:val="4BF90C50"/>
    <w:rsid w:val="4C433C79"/>
    <w:rsid w:val="4C523EBC"/>
    <w:rsid w:val="4CC76658"/>
    <w:rsid w:val="4CCE3E8B"/>
    <w:rsid w:val="4CD356E0"/>
    <w:rsid w:val="4D122168"/>
    <w:rsid w:val="4D1D44CA"/>
    <w:rsid w:val="4D2C6E03"/>
    <w:rsid w:val="4E0B4C6B"/>
    <w:rsid w:val="4E597784"/>
    <w:rsid w:val="4EDE7C89"/>
    <w:rsid w:val="4F90786D"/>
    <w:rsid w:val="4FBF5D0D"/>
    <w:rsid w:val="501E5B4A"/>
    <w:rsid w:val="50B05655"/>
    <w:rsid w:val="50CA2BBB"/>
    <w:rsid w:val="50F33EC0"/>
    <w:rsid w:val="51134562"/>
    <w:rsid w:val="51262E3E"/>
    <w:rsid w:val="51581F75"/>
    <w:rsid w:val="51DA0BDC"/>
    <w:rsid w:val="51EC090F"/>
    <w:rsid w:val="51FF0643"/>
    <w:rsid w:val="522D3402"/>
    <w:rsid w:val="527E3C5D"/>
    <w:rsid w:val="52FE6B4C"/>
    <w:rsid w:val="530E3233"/>
    <w:rsid w:val="532A5B93"/>
    <w:rsid w:val="53310CD0"/>
    <w:rsid w:val="53740BBC"/>
    <w:rsid w:val="53AA2830"/>
    <w:rsid w:val="547F3CBD"/>
    <w:rsid w:val="54B25E40"/>
    <w:rsid w:val="5523289A"/>
    <w:rsid w:val="556E620B"/>
    <w:rsid w:val="55B160F8"/>
    <w:rsid w:val="55C53951"/>
    <w:rsid w:val="566A2E0C"/>
    <w:rsid w:val="56F42740"/>
    <w:rsid w:val="57C540DC"/>
    <w:rsid w:val="588875E4"/>
    <w:rsid w:val="58B101BD"/>
    <w:rsid w:val="590F1AB3"/>
    <w:rsid w:val="59657925"/>
    <w:rsid w:val="59CD7278"/>
    <w:rsid w:val="59DD74BB"/>
    <w:rsid w:val="59E27611"/>
    <w:rsid w:val="5A6B2D19"/>
    <w:rsid w:val="5A733572"/>
    <w:rsid w:val="5A987886"/>
    <w:rsid w:val="5AF42587"/>
    <w:rsid w:val="5BB66216"/>
    <w:rsid w:val="5C1D44E7"/>
    <w:rsid w:val="5C71038F"/>
    <w:rsid w:val="5C7560D1"/>
    <w:rsid w:val="5C9C18B0"/>
    <w:rsid w:val="5CBB785C"/>
    <w:rsid w:val="5CE62B2B"/>
    <w:rsid w:val="5D086F45"/>
    <w:rsid w:val="5D6F2B20"/>
    <w:rsid w:val="5D881E34"/>
    <w:rsid w:val="5DAB78D0"/>
    <w:rsid w:val="5DC664B8"/>
    <w:rsid w:val="5E0771FD"/>
    <w:rsid w:val="5E1B2CA8"/>
    <w:rsid w:val="5E2F405E"/>
    <w:rsid w:val="5E4F64AE"/>
    <w:rsid w:val="5EFC4888"/>
    <w:rsid w:val="5F113078"/>
    <w:rsid w:val="5F13397F"/>
    <w:rsid w:val="5F7F2DC3"/>
    <w:rsid w:val="60591866"/>
    <w:rsid w:val="60624BBE"/>
    <w:rsid w:val="61300818"/>
    <w:rsid w:val="61736957"/>
    <w:rsid w:val="61A94127"/>
    <w:rsid w:val="61BD7BD2"/>
    <w:rsid w:val="61DA69D6"/>
    <w:rsid w:val="61F71336"/>
    <w:rsid w:val="62157A0E"/>
    <w:rsid w:val="62404A8B"/>
    <w:rsid w:val="62775FD3"/>
    <w:rsid w:val="627C183B"/>
    <w:rsid w:val="628C1A7E"/>
    <w:rsid w:val="62FB09B2"/>
    <w:rsid w:val="63620A31"/>
    <w:rsid w:val="637C7D45"/>
    <w:rsid w:val="646D1D84"/>
    <w:rsid w:val="64744EC0"/>
    <w:rsid w:val="649B244D"/>
    <w:rsid w:val="64D911C7"/>
    <w:rsid w:val="65D04378"/>
    <w:rsid w:val="65E322FD"/>
    <w:rsid w:val="660109D5"/>
    <w:rsid w:val="665E3732"/>
    <w:rsid w:val="66AE7F8C"/>
    <w:rsid w:val="66D71736"/>
    <w:rsid w:val="670F7122"/>
    <w:rsid w:val="67BF46A4"/>
    <w:rsid w:val="67D257C2"/>
    <w:rsid w:val="67DD2D7C"/>
    <w:rsid w:val="67DF08A2"/>
    <w:rsid w:val="68F4037D"/>
    <w:rsid w:val="69020CEC"/>
    <w:rsid w:val="69594684"/>
    <w:rsid w:val="698C2CAC"/>
    <w:rsid w:val="699102C2"/>
    <w:rsid w:val="69BD4C13"/>
    <w:rsid w:val="69EE74C3"/>
    <w:rsid w:val="6A2C1D99"/>
    <w:rsid w:val="6A464C09"/>
    <w:rsid w:val="6A484E25"/>
    <w:rsid w:val="6A835E5D"/>
    <w:rsid w:val="6AE306AA"/>
    <w:rsid w:val="6AF24D91"/>
    <w:rsid w:val="6B5670CE"/>
    <w:rsid w:val="6BA442DD"/>
    <w:rsid w:val="6C7A6DEC"/>
    <w:rsid w:val="6CF21078"/>
    <w:rsid w:val="6DB602F7"/>
    <w:rsid w:val="6DE035C6"/>
    <w:rsid w:val="6DE73CDD"/>
    <w:rsid w:val="6E096679"/>
    <w:rsid w:val="6E3C08A1"/>
    <w:rsid w:val="6EAE5472"/>
    <w:rsid w:val="6EFD5AB2"/>
    <w:rsid w:val="6F35524C"/>
    <w:rsid w:val="6F4B4A6F"/>
    <w:rsid w:val="6F4D6A39"/>
    <w:rsid w:val="708C3591"/>
    <w:rsid w:val="70952446"/>
    <w:rsid w:val="70E94540"/>
    <w:rsid w:val="71241A1C"/>
    <w:rsid w:val="712437CA"/>
    <w:rsid w:val="71257C6E"/>
    <w:rsid w:val="715E0A8A"/>
    <w:rsid w:val="716D5171"/>
    <w:rsid w:val="71C54FAD"/>
    <w:rsid w:val="71E371E1"/>
    <w:rsid w:val="72F62F44"/>
    <w:rsid w:val="73245D03"/>
    <w:rsid w:val="734343DB"/>
    <w:rsid w:val="73893DB8"/>
    <w:rsid w:val="73C31078"/>
    <w:rsid w:val="740A314B"/>
    <w:rsid w:val="74A54C22"/>
    <w:rsid w:val="74D84FF7"/>
    <w:rsid w:val="74E41BEE"/>
    <w:rsid w:val="74EE0377"/>
    <w:rsid w:val="75093403"/>
    <w:rsid w:val="750A2CD7"/>
    <w:rsid w:val="75556648"/>
    <w:rsid w:val="756646FB"/>
    <w:rsid w:val="758B3E18"/>
    <w:rsid w:val="75B96BD7"/>
    <w:rsid w:val="75E35A02"/>
    <w:rsid w:val="76120095"/>
    <w:rsid w:val="769F1D04"/>
    <w:rsid w:val="76BB697E"/>
    <w:rsid w:val="77543075"/>
    <w:rsid w:val="775D7A36"/>
    <w:rsid w:val="77664B3C"/>
    <w:rsid w:val="77B43AFA"/>
    <w:rsid w:val="77C17FC5"/>
    <w:rsid w:val="77F9775E"/>
    <w:rsid w:val="78370287"/>
    <w:rsid w:val="7860158C"/>
    <w:rsid w:val="7883527A"/>
    <w:rsid w:val="78930456"/>
    <w:rsid w:val="78A0407E"/>
    <w:rsid w:val="78BE0922"/>
    <w:rsid w:val="79132AA2"/>
    <w:rsid w:val="793A002E"/>
    <w:rsid w:val="79F77CCE"/>
    <w:rsid w:val="7A122D59"/>
    <w:rsid w:val="7A146AD1"/>
    <w:rsid w:val="7A1E34AC"/>
    <w:rsid w:val="7AC73B44"/>
    <w:rsid w:val="7B2368A0"/>
    <w:rsid w:val="7BAE6AB2"/>
    <w:rsid w:val="7BFC5A6F"/>
    <w:rsid w:val="7C5807CC"/>
    <w:rsid w:val="7C773348"/>
    <w:rsid w:val="7CDE0446"/>
    <w:rsid w:val="7D0D7808"/>
    <w:rsid w:val="7DFA5FDE"/>
    <w:rsid w:val="7E77762F"/>
    <w:rsid w:val="7E8A7362"/>
    <w:rsid w:val="7E9755DB"/>
    <w:rsid w:val="7EB73ECF"/>
    <w:rsid w:val="7F594F87"/>
    <w:rsid w:val="7F60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99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420" w:firstLineChars="0"/>
      <w:jc w:val="both"/>
      <w:textAlignment w:val="auto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numPr>
        <w:ilvl w:val="0"/>
        <w:numId w:val="1"/>
      </w:numPr>
      <w:tabs>
        <w:tab w:val="left" w:pos="432"/>
      </w:tabs>
      <w:spacing w:before="120" w:after="12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tabs>
        <w:tab w:val="left" w:pos="576"/>
      </w:tabs>
      <w:spacing w:before="260" w:after="260"/>
      <w:ind w:left="575" w:hanging="575"/>
      <w:outlineLvl w:val="1"/>
    </w:pPr>
    <w:rPr>
      <w:rFonts w:ascii="Arial" w:hAnsi="Arial"/>
      <w:b/>
      <w:bCs/>
      <w:sz w:val="30"/>
      <w:szCs w:val="32"/>
    </w:rPr>
  </w:style>
  <w:style w:type="paragraph" w:styleId="4">
    <w:name w:val="heading 3"/>
    <w:basedOn w:val="1"/>
    <w:next w:val="1"/>
    <w:qFormat/>
    <w:uiPriority w:val="99"/>
    <w:pPr>
      <w:keepNext/>
      <w:keepLines/>
      <w:numPr>
        <w:ilvl w:val="2"/>
        <w:numId w:val="1"/>
      </w:numPr>
      <w:tabs>
        <w:tab w:val="left" w:pos="720"/>
      </w:tabs>
      <w:spacing w:before="260" w:after="260" w:line="413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4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qFormat/>
    <w:uiPriority w:val="99"/>
    <w:pPr>
      <w:jc w:val="center"/>
    </w:pPr>
    <w:rPr>
      <w:rFonts w:ascii="Arial" w:hAnsi="Arial" w:cs="Arial"/>
      <w:sz w:val="18"/>
      <w:szCs w:val="20"/>
    </w:rPr>
  </w:style>
  <w:style w:type="paragraph" w:styleId="12">
    <w:name w:val="Body Text"/>
    <w:basedOn w:val="1"/>
    <w:qFormat/>
    <w:uiPriority w:val="99"/>
    <w:rPr>
      <w:szCs w:val="20"/>
    </w:rPr>
  </w:style>
  <w:style w:type="paragraph" w:styleId="13">
    <w:name w:val="toc 1"/>
    <w:basedOn w:val="1"/>
    <w:next w:val="1"/>
    <w:qFormat/>
    <w:uiPriority w:val="0"/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8">
    <w:name w:val="Strong"/>
    <w:basedOn w:val="17"/>
    <w:qFormat/>
    <w:uiPriority w:val="22"/>
    <w:rPr>
      <w:b/>
      <w:bCs/>
    </w:rPr>
  </w:style>
  <w:style w:type="paragraph" w:styleId="19">
    <w:name w:val="No Spacing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4915</Words>
  <Characters>4968</Characters>
  <Lines>0</Lines>
  <Paragraphs>0</Paragraphs>
  <TotalTime>0</TotalTime>
  <ScaleCrop>false</ScaleCrop>
  <LinksUpToDate>false</LinksUpToDate>
  <CharactersWithSpaces>5010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2025-04-07T10:49:00Z</dcterms:created>
  <dc:creator>慕溪</dc:creator>
  <cp:lastModifiedBy>晖.晖</cp:lastModifiedBy>
  <dcterms:modified xsi:type="dcterms:W3CDTF">2025-09-08T03:57:34Z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6ABEE72D3C6D4E6E81BC247601E338AE_13</vt:lpwstr>
  </property>
  <property fmtid="{D5CDD505-2E9C-101B-9397-08002B2CF9AE}" pid="4" name="KSOTemplateDocerSaveRecord">
    <vt:lpwstr>eyJoZGlkIjoiYzExMzZjNWE1ODAzZmFjMGU3ZjUyZDI1NWY4MmJjMDMiLCJ1c2VySWQiOiIzNTQzMDM5MjMifQ==</vt:lpwstr>
  </property>
</Properties>
</file>